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z w:val="32"/>
          <w:szCs w:val="32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sz w:val="44"/>
          <w:szCs w:val="44"/>
        </w:rPr>
        <w:t>梧州市铸牢中华民族共同体意识主题标识作品信息表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/>
        <w:jc w:val="center"/>
        <w:rPr>
          <w:sz w:val="0"/>
          <w:szCs w:val="0"/>
        </w:rPr>
      </w:pPr>
    </w:p>
    <w:tbl>
      <w:tblPr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2"/>
        <w:gridCol w:w="1792"/>
        <w:gridCol w:w="1792"/>
        <w:gridCol w:w="179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8" w:hRule="atLeast"/>
        </w:trPr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作者团队</w:t>
            </w: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设计理念</w:t>
            </w: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设计定位</w:t>
            </w: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1792" w:type="dxa"/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中國龍古印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圓新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D6CDD"/>
    <w:rsid w:val="2A0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2022-06-25T08:49:00Z</dcterms:created>
  <dc:creator>毛毛(征集)</dc:creator>
  <cp:lastModifiedBy>毛毛(征集)</cp:lastModifiedBy>
  <dcterms:modified xsi:type="dcterms:W3CDTF">2022-06-25T08:51:09Z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